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825B" w14:textId="42FD6780" w:rsidR="00495753" w:rsidRDefault="00495753" w:rsidP="003C5F1C">
      <w:pPr>
        <w:spacing w:after="0"/>
      </w:pPr>
    </w:p>
    <w:p w14:paraId="333F09E8" w14:textId="77777777" w:rsidR="00D27DFC" w:rsidRPr="00D27DFC" w:rsidRDefault="00D27DFC" w:rsidP="003C5F1C">
      <w:pPr>
        <w:spacing w:after="0"/>
        <w:rPr>
          <w:b/>
          <w:bCs/>
        </w:rPr>
      </w:pPr>
      <w:r w:rsidRPr="00D27DFC">
        <w:rPr>
          <w:b/>
          <w:bCs/>
        </w:rPr>
        <w:t>Workshop C – Outputs Summary</w:t>
      </w:r>
    </w:p>
    <w:p w14:paraId="0E787717" w14:textId="23F96FB4" w:rsidR="00495753" w:rsidRPr="00D27DFC" w:rsidRDefault="00495753" w:rsidP="003C5F1C">
      <w:pPr>
        <w:spacing w:after="0"/>
        <w:rPr>
          <w:b/>
          <w:bCs/>
        </w:rPr>
      </w:pPr>
      <w:r w:rsidRPr="00D27DFC">
        <w:rPr>
          <w:b/>
          <w:bCs/>
        </w:rPr>
        <w:t>Technology Transfer</w:t>
      </w:r>
      <w:r w:rsidR="0007457F" w:rsidRPr="00D27DFC">
        <w:rPr>
          <w:b/>
          <w:bCs/>
        </w:rPr>
        <w:t xml:space="preserve"> and </w:t>
      </w:r>
      <w:r w:rsidR="00C1160F" w:rsidRPr="00D27DFC">
        <w:rPr>
          <w:b/>
          <w:bCs/>
        </w:rPr>
        <w:t>Maintenance of Dynamic Process Risk Assessments</w:t>
      </w:r>
    </w:p>
    <w:p w14:paraId="6D132DF5" w14:textId="13D713CE" w:rsidR="00C1160F" w:rsidRDefault="00C1160F" w:rsidP="003C5F1C">
      <w:pPr>
        <w:spacing w:after="0"/>
        <w:rPr>
          <w:b/>
          <w:bCs/>
          <w:u w:val="single"/>
        </w:rPr>
      </w:pPr>
    </w:p>
    <w:tbl>
      <w:tblPr>
        <w:tblStyle w:val="TableGrid"/>
        <w:tblW w:w="5000" w:type="pct"/>
        <w:tblLook w:val="04A0" w:firstRow="1" w:lastRow="0" w:firstColumn="1" w:lastColumn="0" w:noHBand="0" w:noVBand="1"/>
      </w:tblPr>
      <w:tblGrid>
        <w:gridCol w:w="3113"/>
        <w:gridCol w:w="5519"/>
        <w:gridCol w:w="4318"/>
      </w:tblGrid>
      <w:tr w:rsidR="00C1160F" w14:paraId="699865A2" w14:textId="77777777" w:rsidTr="00C1160F">
        <w:tc>
          <w:tcPr>
            <w:tcW w:w="1202" w:type="pct"/>
            <w:shd w:val="clear" w:color="auto" w:fill="D9D9D9" w:themeFill="background1" w:themeFillShade="D9"/>
          </w:tcPr>
          <w:p w14:paraId="31755F8D" w14:textId="01AF9D02" w:rsidR="00C1160F" w:rsidRPr="00C1160F" w:rsidRDefault="00C1160F" w:rsidP="003C5F1C">
            <w:pPr>
              <w:rPr>
                <w:b/>
                <w:bCs/>
              </w:rPr>
            </w:pPr>
            <w:r w:rsidRPr="00C1160F">
              <w:rPr>
                <w:b/>
                <w:bCs/>
              </w:rPr>
              <w:t>Topic</w:t>
            </w:r>
          </w:p>
        </w:tc>
        <w:tc>
          <w:tcPr>
            <w:tcW w:w="2131" w:type="pct"/>
            <w:shd w:val="clear" w:color="auto" w:fill="D9D9D9" w:themeFill="background1" w:themeFillShade="D9"/>
          </w:tcPr>
          <w:p w14:paraId="7EDF63FC" w14:textId="4998C426" w:rsidR="00C1160F" w:rsidRPr="00C1160F" w:rsidRDefault="00C1160F" w:rsidP="00C1160F">
            <w:pPr>
              <w:jc w:val="center"/>
              <w:rPr>
                <w:b/>
                <w:bCs/>
              </w:rPr>
            </w:pPr>
            <w:r w:rsidRPr="00C1160F">
              <w:rPr>
                <w:b/>
                <w:bCs/>
              </w:rPr>
              <w:t>Technology Transfer</w:t>
            </w:r>
          </w:p>
        </w:tc>
        <w:tc>
          <w:tcPr>
            <w:tcW w:w="1667" w:type="pct"/>
            <w:shd w:val="clear" w:color="auto" w:fill="D9D9D9" w:themeFill="background1" w:themeFillShade="D9"/>
          </w:tcPr>
          <w:p w14:paraId="5B0BAA7D" w14:textId="0D15C63E" w:rsidR="00C1160F" w:rsidRPr="00C1160F" w:rsidRDefault="00C1160F" w:rsidP="00C1160F">
            <w:pPr>
              <w:jc w:val="center"/>
              <w:rPr>
                <w:b/>
                <w:bCs/>
              </w:rPr>
            </w:pPr>
            <w:r w:rsidRPr="00C1160F">
              <w:rPr>
                <w:b/>
                <w:bCs/>
              </w:rPr>
              <w:t>Maintenance of Dynamic Risk Assessments</w:t>
            </w:r>
          </w:p>
        </w:tc>
      </w:tr>
      <w:tr w:rsidR="00C1160F" w14:paraId="216FD0CC" w14:textId="77777777" w:rsidTr="00C1160F">
        <w:tc>
          <w:tcPr>
            <w:tcW w:w="1202" w:type="pct"/>
            <w:shd w:val="clear" w:color="auto" w:fill="D9D9D9" w:themeFill="background1" w:themeFillShade="D9"/>
          </w:tcPr>
          <w:p w14:paraId="00A299DC" w14:textId="77777777" w:rsidR="00C1160F" w:rsidRDefault="00C1160F" w:rsidP="003C5F1C">
            <w:pPr>
              <w:rPr>
                <w:b/>
                <w:bCs/>
              </w:rPr>
            </w:pPr>
            <w:r w:rsidRPr="00C1160F">
              <w:rPr>
                <w:b/>
                <w:bCs/>
              </w:rPr>
              <w:t>Commonalities</w:t>
            </w:r>
            <w:r>
              <w:rPr>
                <w:b/>
                <w:bCs/>
              </w:rPr>
              <w:t>/Areas of Consistent Practice and Understanding</w:t>
            </w:r>
          </w:p>
          <w:p w14:paraId="758EA563" w14:textId="77777777" w:rsidR="00C1160F" w:rsidRDefault="00C1160F" w:rsidP="003C5F1C">
            <w:pPr>
              <w:rPr>
                <w:b/>
                <w:bCs/>
              </w:rPr>
            </w:pPr>
          </w:p>
          <w:p w14:paraId="7C6BB688" w14:textId="77777777" w:rsidR="00C1160F" w:rsidRDefault="00C1160F" w:rsidP="00C1160F">
            <w:pPr>
              <w:pStyle w:val="ListParagraph"/>
              <w:ind w:left="0"/>
            </w:pPr>
            <w:r>
              <w:t>(Remember common practice is not necessarily best practice)</w:t>
            </w:r>
          </w:p>
          <w:p w14:paraId="167FEB18" w14:textId="78F54CC2" w:rsidR="00C1160F" w:rsidRPr="00C1160F" w:rsidRDefault="00C1160F" w:rsidP="003C5F1C">
            <w:pPr>
              <w:rPr>
                <w:b/>
                <w:bCs/>
              </w:rPr>
            </w:pPr>
          </w:p>
        </w:tc>
        <w:tc>
          <w:tcPr>
            <w:tcW w:w="2131" w:type="pct"/>
          </w:tcPr>
          <w:p w14:paraId="4F783890" w14:textId="77777777" w:rsidR="00C1160F" w:rsidRDefault="00C1160F" w:rsidP="00C1160F">
            <w:pPr>
              <w:pStyle w:val="ListParagraph"/>
              <w:numPr>
                <w:ilvl w:val="0"/>
                <w:numId w:val="2"/>
              </w:numPr>
            </w:pPr>
            <w:r>
              <w:t>Use QRM to ensure regulatory obligations are met and product quality is maintained during transfer activities</w:t>
            </w:r>
          </w:p>
          <w:p w14:paraId="3464BEF9" w14:textId="77777777" w:rsidR="00C1160F" w:rsidRDefault="00C1160F" w:rsidP="00C1160F">
            <w:pPr>
              <w:pStyle w:val="ListParagraph"/>
              <w:numPr>
                <w:ilvl w:val="0"/>
                <w:numId w:val="2"/>
              </w:numPr>
            </w:pPr>
            <w:r>
              <w:t>Use QRM to capture knowledge</w:t>
            </w:r>
          </w:p>
          <w:p w14:paraId="339F08C6" w14:textId="77777777" w:rsidR="00C1160F" w:rsidRDefault="00C1160F" w:rsidP="00C1160F">
            <w:pPr>
              <w:pStyle w:val="ListParagraph"/>
              <w:numPr>
                <w:ilvl w:val="0"/>
                <w:numId w:val="2"/>
              </w:numPr>
            </w:pPr>
            <w:r>
              <w:t>Use of QRM to assess the impact of any changes introduced by the technology transfer and ensure mitigations are planned for identified risks and gaps are closed (although some challenged that change management was the primary vehicle for this)</w:t>
            </w:r>
          </w:p>
          <w:p w14:paraId="6E87E9D2" w14:textId="77777777" w:rsidR="00C1160F" w:rsidRDefault="00C1160F" w:rsidP="00C1160F">
            <w:pPr>
              <w:pStyle w:val="ListParagraph"/>
              <w:numPr>
                <w:ilvl w:val="0"/>
                <w:numId w:val="2"/>
              </w:numPr>
            </w:pPr>
            <w:r>
              <w:t>Involvement of both the sending and receiving units and the use of cross functional teams with clear responsibilities &amp; expectations</w:t>
            </w:r>
          </w:p>
          <w:p w14:paraId="03E4838E" w14:textId="548D8B85" w:rsidR="00C1160F" w:rsidRDefault="00AB29AC" w:rsidP="00C1160F">
            <w:pPr>
              <w:pStyle w:val="ListParagraph"/>
              <w:numPr>
                <w:ilvl w:val="0"/>
                <w:numId w:val="2"/>
              </w:numPr>
            </w:pPr>
            <w:r>
              <w:t>Work to create a c</w:t>
            </w:r>
            <w:r w:rsidR="00C1160F">
              <w:t xml:space="preserve">lear scope of work with supporting </w:t>
            </w:r>
            <w:r>
              <w:t>schedule,</w:t>
            </w:r>
            <w:r w:rsidR="00C1160F">
              <w:t xml:space="preserve"> train as necessary</w:t>
            </w:r>
          </w:p>
          <w:p w14:paraId="446AB922" w14:textId="77F74B0B" w:rsidR="00C1160F" w:rsidRPr="00C1160F" w:rsidRDefault="00AB29AC" w:rsidP="003C5F1C">
            <w:pPr>
              <w:pStyle w:val="ListParagraph"/>
              <w:numPr>
                <w:ilvl w:val="0"/>
                <w:numId w:val="2"/>
              </w:numPr>
            </w:pPr>
            <w:r>
              <w:t>Seek to m</w:t>
            </w:r>
            <w:r w:rsidR="00C1160F">
              <w:t>anage subjectivity via an experienced facilitator</w:t>
            </w:r>
          </w:p>
        </w:tc>
        <w:tc>
          <w:tcPr>
            <w:tcW w:w="1667" w:type="pct"/>
          </w:tcPr>
          <w:p w14:paraId="64DD8941" w14:textId="218312D0" w:rsidR="00C1160F" w:rsidRDefault="00541188" w:rsidP="00833C75">
            <w:pPr>
              <w:pStyle w:val="ListParagraph"/>
              <w:numPr>
                <w:ilvl w:val="0"/>
                <w:numId w:val="2"/>
              </w:numPr>
            </w:pPr>
            <w:r>
              <w:t>All agree that w</w:t>
            </w:r>
            <w:r w:rsidR="00833C75" w:rsidRPr="00833C75">
              <w:t>e should use triggers within the deviation and change control systems to prompt updates to risk assessments when required</w:t>
            </w:r>
          </w:p>
          <w:p w14:paraId="55147DC4" w14:textId="77777777" w:rsidR="00833C75" w:rsidRDefault="00833C75" w:rsidP="00833C75">
            <w:pPr>
              <w:pStyle w:val="ListParagraph"/>
              <w:numPr>
                <w:ilvl w:val="0"/>
                <w:numId w:val="2"/>
              </w:numPr>
            </w:pPr>
            <w:r>
              <w:t>Use data gained from process experience and incorporate this new knowledge</w:t>
            </w:r>
          </w:p>
          <w:p w14:paraId="4D4D16C8" w14:textId="22255424" w:rsidR="002C7E63" w:rsidRPr="00833C75" w:rsidRDefault="002C7E63" w:rsidP="00833C75">
            <w:pPr>
              <w:pStyle w:val="ListParagraph"/>
              <w:numPr>
                <w:ilvl w:val="0"/>
                <w:numId w:val="2"/>
              </w:numPr>
            </w:pPr>
            <w:r>
              <w:t>Agree that we should use a mix of experienced people and new people (fresh eyes/other company perspective)</w:t>
            </w:r>
          </w:p>
        </w:tc>
      </w:tr>
      <w:tr w:rsidR="00C1160F" w14:paraId="3B63FCDC" w14:textId="77777777" w:rsidTr="00C1160F">
        <w:tc>
          <w:tcPr>
            <w:tcW w:w="1202" w:type="pct"/>
            <w:shd w:val="clear" w:color="auto" w:fill="D9D9D9" w:themeFill="background1" w:themeFillShade="D9"/>
          </w:tcPr>
          <w:p w14:paraId="59A9E94A" w14:textId="0ED81BC9" w:rsidR="00C1160F" w:rsidRPr="00C1160F" w:rsidRDefault="00C1160F" w:rsidP="003C5F1C">
            <w:pPr>
              <w:rPr>
                <w:b/>
                <w:bCs/>
              </w:rPr>
            </w:pPr>
            <w:r>
              <w:rPr>
                <w:b/>
                <w:bCs/>
              </w:rPr>
              <w:t>Differences in the application of QRM</w:t>
            </w:r>
          </w:p>
        </w:tc>
        <w:tc>
          <w:tcPr>
            <w:tcW w:w="2131" w:type="pct"/>
          </w:tcPr>
          <w:p w14:paraId="32A960C4" w14:textId="77777777" w:rsidR="00AB29AC" w:rsidRPr="00AB29AC" w:rsidRDefault="00AB29AC" w:rsidP="00AB29AC">
            <w:pPr>
              <w:pStyle w:val="ListParagraph"/>
              <w:numPr>
                <w:ilvl w:val="0"/>
                <w:numId w:val="2"/>
              </w:numPr>
              <w:rPr>
                <w:lang w:val="en-IE"/>
              </w:rPr>
            </w:pPr>
            <w:r w:rsidRPr="00AB29AC">
              <w:t xml:space="preserve">Differences in how actions highlighted during the technology transfer are managed e.g., some use a CAPA system, others use risk registers, others use project management tools etc.  </w:t>
            </w:r>
          </w:p>
          <w:p w14:paraId="26F21A05" w14:textId="77777777" w:rsidR="00AB29AC" w:rsidRPr="00AB29AC" w:rsidRDefault="00AB29AC" w:rsidP="00AB29AC">
            <w:pPr>
              <w:pStyle w:val="ListParagraph"/>
              <w:numPr>
                <w:ilvl w:val="0"/>
                <w:numId w:val="2"/>
              </w:numPr>
              <w:rPr>
                <w:lang w:val="en-IE"/>
              </w:rPr>
            </w:pPr>
            <w:r w:rsidRPr="00AB29AC">
              <w:t>Different tools used to perform the assessments and evaluations required by the technology transfer</w:t>
            </w:r>
          </w:p>
          <w:p w14:paraId="6667AB26" w14:textId="64BD6B23" w:rsidR="00C1160F" w:rsidRPr="00AB29AC" w:rsidRDefault="00AB29AC" w:rsidP="00AB29AC">
            <w:pPr>
              <w:pStyle w:val="ListParagraph"/>
              <w:numPr>
                <w:ilvl w:val="0"/>
                <w:numId w:val="2"/>
              </w:numPr>
              <w:rPr>
                <w:lang w:val="en-IE"/>
              </w:rPr>
            </w:pPr>
            <w:r w:rsidRPr="00AB29AC">
              <w:t>Different levels of detail for the technology transfer processes – how much of a deep dive (varied within company for different transfers also)</w:t>
            </w:r>
          </w:p>
        </w:tc>
        <w:tc>
          <w:tcPr>
            <w:tcW w:w="1667" w:type="pct"/>
          </w:tcPr>
          <w:p w14:paraId="56C12866" w14:textId="77777777" w:rsidR="00C1160F" w:rsidRPr="00833C75" w:rsidRDefault="00833C75" w:rsidP="00833C75">
            <w:pPr>
              <w:pStyle w:val="ListParagraph"/>
              <w:numPr>
                <w:ilvl w:val="0"/>
                <w:numId w:val="2"/>
              </w:numPr>
              <w:rPr>
                <w:b/>
                <w:bCs/>
              </w:rPr>
            </w:pPr>
            <w:r>
              <w:t xml:space="preserve">Risk registers – variation in their format, use and formality.  Often used as a more informal or project management tool, and sometimes there are differences between sites.  </w:t>
            </w:r>
          </w:p>
          <w:p w14:paraId="2FCC2258" w14:textId="77777777" w:rsidR="00541188" w:rsidRDefault="00541188" w:rsidP="00833C75">
            <w:pPr>
              <w:pStyle w:val="ListParagraph"/>
              <w:numPr>
                <w:ilvl w:val="0"/>
                <w:numId w:val="2"/>
              </w:numPr>
            </w:pPr>
            <w:r>
              <w:t>How we use data from deviation and change management system and feed it into risk assessments</w:t>
            </w:r>
          </w:p>
          <w:p w14:paraId="321DC6E5" w14:textId="455382C2" w:rsidR="00833C75" w:rsidRPr="00833C75" w:rsidRDefault="00833C75" w:rsidP="00833C75">
            <w:pPr>
              <w:pStyle w:val="ListParagraph"/>
              <w:numPr>
                <w:ilvl w:val="0"/>
                <w:numId w:val="2"/>
              </w:numPr>
            </w:pPr>
            <w:r w:rsidRPr="00833C75">
              <w:t>Range of tools used</w:t>
            </w:r>
          </w:p>
        </w:tc>
      </w:tr>
      <w:tr w:rsidR="00C1160F" w14:paraId="0BE2A37D" w14:textId="77777777" w:rsidTr="00C1160F">
        <w:tc>
          <w:tcPr>
            <w:tcW w:w="1202" w:type="pct"/>
            <w:shd w:val="clear" w:color="auto" w:fill="D9D9D9" w:themeFill="background1" w:themeFillShade="D9"/>
          </w:tcPr>
          <w:p w14:paraId="05E84A35" w14:textId="178F6817" w:rsidR="00C1160F" w:rsidRPr="00C1160F" w:rsidRDefault="00C1160F" w:rsidP="003C5F1C">
            <w:pPr>
              <w:rPr>
                <w:b/>
                <w:bCs/>
              </w:rPr>
            </w:pPr>
            <w:r>
              <w:rPr>
                <w:b/>
                <w:bCs/>
              </w:rPr>
              <w:t>Challenging Areas to Interpret/Apply</w:t>
            </w:r>
          </w:p>
        </w:tc>
        <w:tc>
          <w:tcPr>
            <w:tcW w:w="2131" w:type="pct"/>
          </w:tcPr>
          <w:p w14:paraId="7994CE2E" w14:textId="77777777" w:rsidR="00C1160F" w:rsidRDefault="00C1160F" w:rsidP="00C1160F">
            <w:pPr>
              <w:pStyle w:val="ListParagraph"/>
              <w:numPr>
                <w:ilvl w:val="0"/>
                <w:numId w:val="2"/>
              </w:numPr>
            </w:pPr>
            <w:r>
              <w:t>Third party transfers pose more of a challenge</w:t>
            </w:r>
          </w:p>
          <w:p w14:paraId="2EF06F89" w14:textId="77777777" w:rsidR="00C1160F" w:rsidRDefault="00C1160F" w:rsidP="00C1160F">
            <w:pPr>
              <w:pStyle w:val="ListParagraph"/>
              <w:numPr>
                <w:ilvl w:val="0"/>
                <w:numId w:val="2"/>
              </w:numPr>
            </w:pPr>
            <w:r>
              <w:t xml:space="preserve">Knowledge management – </w:t>
            </w:r>
            <w:proofErr w:type="gramStart"/>
            <w:r>
              <w:t>in particular the</w:t>
            </w:r>
            <w:proofErr w:type="gramEnd"/>
            <w:r>
              <w:t xml:space="preserve"> flow of tacit knowledge – how to do this?</w:t>
            </w:r>
          </w:p>
          <w:p w14:paraId="3042F52A" w14:textId="77777777" w:rsidR="00C1160F" w:rsidRDefault="00C1160F" w:rsidP="00C1160F">
            <w:pPr>
              <w:pStyle w:val="ListParagraph"/>
              <w:numPr>
                <w:ilvl w:val="0"/>
                <w:numId w:val="2"/>
              </w:numPr>
            </w:pPr>
            <w:r>
              <w:lastRenderedPageBreak/>
              <w:t>Lack of transparency at receiving site – difficulty identifying gaps if sites do things that are not detailed in procedures</w:t>
            </w:r>
          </w:p>
          <w:p w14:paraId="13C416E4" w14:textId="77777777" w:rsidR="00C1160F" w:rsidRDefault="00C1160F" w:rsidP="00C1160F">
            <w:pPr>
              <w:pStyle w:val="ListParagraph"/>
              <w:numPr>
                <w:ilvl w:val="0"/>
                <w:numId w:val="2"/>
              </w:numPr>
            </w:pPr>
            <w:r>
              <w:t>Communication can be a challenge – how to effectively communicate and to the right level</w:t>
            </w:r>
          </w:p>
          <w:p w14:paraId="64AED901" w14:textId="77777777" w:rsidR="00C1160F" w:rsidRDefault="00C1160F" w:rsidP="00C1160F">
            <w:pPr>
              <w:pStyle w:val="ListParagraph"/>
              <w:numPr>
                <w:ilvl w:val="0"/>
                <w:numId w:val="2"/>
              </w:numPr>
            </w:pPr>
            <w:r>
              <w:t xml:space="preserve">Material and equipment </w:t>
            </w:r>
            <w:proofErr w:type="gramStart"/>
            <w:r>
              <w:t>is</w:t>
            </w:r>
            <w:proofErr w:type="gramEnd"/>
            <w:r>
              <w:t xml:space="preserve"> pretty straightforward; people and lab capability is a ‘black box’ and risky</w:t>
            </w:r>
          </w:p>
          <w:p w14:paraId="22C7F3B3" w14:textId="77777777" w:rsidR="00C1160F" w:rsidRDefault="00C1160F" w:rsidP="00C1160F">
            <w:pPr>
              <w:pStyle w:val="ListParagraph"/>
              <w:numPr>
                <w:ilvl w:val="0"/>
                <w:numId w:val="2"/>
              </w:numPr>
            </w:pPr>
            <w:r>
              <w:t>Dependency on people behaviors (link to Nuala presentation)</w:t>
            </w:r>
          </w:p>
          <w:p w14:paraId="595763A7" w14:textId="77777777" w:rsidR="00C1160F" w:rsidRDefault="00C1160F" w:rsidP="00C1160F">
            <w:pPr>
              <w:pStyle w:val="ListParagraph"/>
              <w:numPr>
                <w:ilvl w:val="0"/>
                <w:numId w:val="2"/>
              </w:numPr>
            </w:pPr>
            <w:r>
              <w:t>Inappropriate use of QRM as a get out of jail card!</w:t>
            </w:r>
          </w:p>
          <w:p w14:paraId="0896E5D2" w14:textId="77777777" w:rsidR="00C1160F" w:rsidRDefault="00C1160F" w:rsidP="00C1160F">
            <w:pPr>
              <w:pStyle w:val="ListParagraph"/>
              <w:numPr>
                <w:ilvl w:val="0"/>
                <w:numId w:val="2"/>
              </w:numPr>
            </w:pPr>
            <w:r>
              <w:t>“politics”</w:t>
            </w:r>
          </w:p>
          <w:p w14:paraId="72D3FAAE" w14:textId="6524BCD6" w:rsidR="00C1160F" w:rsidRDefault="00541188" w:rsidP="00C1160F">
            <w:pPr>
              <w:pStyle w:val="ListParagraph"/>
              <w:numPr>
                <w:ilvl w:val="0"/>
                <w:numId w:val="2"/>
              </w:numPr>
            </w:pPr>
            <w:r>
              <w:t>Making the</w:t>
            </w:r>
            <w:r w:rsidR="00C1160F">
              <w:t xml:space="preserve"> tech transfer </w:t>
            </w:r>
            <w:r w:rsidR="00AB29AC">
              <w:t xml:space="preserve">risk assessment </w:t>
            </w:r>
            <w:r w:rsidR="00C1160F">
              <w:t>a living document</w:t>
            </w:r>
          </w:p>
          <w:p w14:paraId="3B739544" w14:textId="77777777" w:rsidR="00C1160F" w:rsidRPr="00C1160F" w:rsidRDefault="00C1160F" w:rsidP="003C5F1C">
            <w:pPr>
              <w:rPr>
                <w:b/>
                <w:bCs/>
              </w:rPr>
            </w:pPr>
          </w:p>
        </w:tc>
        <w:tc>
          <w:tcPr>
            <w:tcW w:w="1667" w:type="pct"/>
          </w:tcPr>
          <w:p w14:paraId="11D09581" w14:textId="5DEC122E" w:rsidR="00833C75" w:rsidRPr="00833C75" w:rsidRDefault="00833C75" w:rsidP="00833C75">
            <w:pPr>
              <w:pStyle w:val="ListParagraph"/>
              <w:numPr>
                <w:ilvl w:val="0"/>
                <w:numId w:val="2"/>
              </w:numPr>
              <w:rPr>
                <w:b/>
                <w:bCs/>
              </w:rPr>
            </w:pPr>
            <w:r>
              <w:lastRenderedPageBreak/>
              <w:t>How to integrate QRM into the deviation and change management systems effectively</w:t>
            </w:r>
          </w:p>
          <w:p w14:paraId="19E59332" w14:textId="77777777" w:rsidR="00C1160F" w:rsidRDefault="00C1160F" w:rsidP="00C1160F">
            <w:pPr>
              <w:pStyle w:val="ListParagraph"/>
              <w:numPr>
                <w:ilvl w:val="0"/>
                <w:numId w:val="2"/>
              </w:numPr>
            </w:pPr>
            <w:r>
              <w:lastRenderedPageBreak/>
              <w:t>Risk review – different interpretations on what periodic review entails and how it should be performed</w:t>
            </w:r>
          </w:p>
          <w:p w14:paraId="5C322C84" w14:textId="77777777" w:rsidR="00C1160F" w:rsidRPr="00C1160F" w:rsidRDefault="00C1160F" w:rsidP="003C5F1C">
            <w:pPr>
              <w:rPr>
                <w:b/>
                <w:bCs/>
              </w:rPr>
            </w:pPr>
          </w:p>
        </w:tc>
      </w:tr>
      <w:tr w:rsidR="00C1160F" w14:paraId="2073BE79" w14:textId="77777777" w:rsidTr="00C1160F">
        <w:tc>
          <w:tcPr>
            <w:tcW w:w="1202" w:type="pct"/>
            <w:shd w:val="clear" w:color="auto" w:fill="D9D9D9" w:themeFill="background1" w:themeFillShade="D9"/>
          </w:tcPr>
          <w:p w14:paraId="10A6BC98" w14:textId="32B306F0" w:rsidR="00C1160F" w:rsidRPr="00C1160F" w:rsidRDefault="00C1160F" w:rsidP="003C5F1C">
            <w:pPr>
              <w:rPr>
                <w:b/>
                <w:bCs/>
              </w:rPr>
            </w:pPr>
            <w:r>
              <w:rPr>
                <w:b/>
                <w:bCs/>
              </w:rPr>
              <w:lastRenderedPageBreak/>
              <w:t>Areas for Future Discussion/Research</w:t>
            </w:r>
          </w:p>
        </w:tc>
        <w:tc>
          <w:tcPr>
            <w:tcW w:w="2131" w:type="pct"/>
          </w:tcPr>
          <w:p w14:paraId="6E85B051" w14:textId="3370EFE6" w:rsidR="00541188" w:rsidRDefault="00D27DFC" w:rsidP="00541188">
            <w:pPr>
              <w:pStyle w:val="ListParagraph"/>
              <w:numPr>
                <w:ilvl w:val="0"/>
                <w:numId w:val="2"/>
              </w:numPr>
            </w:pPr>
            <w:r>
              <w:t>R</w:t>
            </w:r>
            <w:r w:rsidR="00541188">
              <w:t xml:space="preserve">isk </w:t>
            </w:r>
            <w:r w:rsidR="00196D2E">
              <w:t>as</w:t>
            </w:r>
            <w:r w:rsidR="00541188">
              <w:t xml:space="preserve"> everyone’s responsibility</w:t>
            </w:r>
          </w:p>
          <w:p w14:paraId="29E567B8" w14:textId="77777777" w:rsidR="00C1160F" w:rsidRDefault="00541188" w:rsidP="003C5F1C">
            <w:pPr>
              <w:pStyle w:val="ListParagraph"/>
              <w:numPr>
                <w:ilvl w:val="0"/>
                <w:numId w:val="2"/>
              </w:numPr>
            </w:pPr>
            <w:r>
              <w:t>Training people in local risks (reporting &amp; capturing)</w:t>
            </w:r>
          </w:p>
          <w:p w14:paraId="3B68B678" w14:textId="77777777" w:rsidR="00541188" w:rsidRDefault="00541188" w:rsidP="00541188">
            <w:pPr>
              <w:pStyle w:val="ListParagraph"/>
              <w:numPr>
                <w:ilvl w:val="0"/>
                <w:numId w:val="2"/>
              </w:numPr>
            </w:pPr>
            <w:r>
              <w:t xml:space="preserve">Managing subjectivity </w:t>
            </w:r>
          </w:p>
          <w:p w14:paraId="09D29841" w14:textId="09346DE6" w:rsidR="00541188" w:rsidRDefault="00541188" w:rsidP="00541188">
            <w:pPr>
              <w:pStyle w:val="ListParagraph"/>
              <w:numPr>
                <w:ilvl w:val="0"/>
                <w:numId w:val="2"/>
              </w:numPr>
            </w:pPr>
            <w:r>
              <w:t>Recognizing link between knowledge &amp; risk / application of RKI cycle</w:t>
            </w:r>
          </w:p>
          <w:p w14:paraId="1AFD0265" w14:textId="77777777" w:rsidR="00541188" w:rsidRDefault="00541188" w:rsidP="00541188">
            <w:pPr>
              <w:pStyle w:val="ListParagraph"/>
              <w:numPr>
                <w:ilvl w:val="0"/>
                <w:numId w:val="2"/>
              </w:numPr>
            </w:pPr>
            <w:r>
              <w:t>Risk communication - Understanding one’s audience and communicating effectively and often</w:t>
            </w:r>
          </w:p>
          <w:p w14:paraId="679DBFF3" w14:textId="32C01856" w:rsidR="00541188" w:rsidRPr="00541188" w:rsidRDefault="00541188" w:rsidP="00541188">
            <w:pPr>
              <w:pStyle w:val="ListParagraph"/>
              <w:numPr>
                <w:ilvl w:val="0"/>
                <w:numId w:val="2"/>
              </w:numPr>
            </w:pPr>
            <w:r>
              <w:t>How to make the tech</w:t>
            </w:r>
            <w:r w:rsidR="00AB29AC">
              <w:t>nology</w:t>
            </w:r>
            <w:r>
              <w:t xml:space="preserve"> transfer</w:t>
            </w:r>
            <w:r w:rsidR="00AB29AC">
              <w:t xml:space="preserve"> risk assessment</w:t>
            </w:r>
            <w:r>
              <w:t xml:space="preserve"> a living document</w:t>
            </w:r>
          </w:p>
        </w:tc>
        <w:tc>
          <w:tcPr>
            <w:tcW w:w="1667" w:type="pct"/>
          </w:tcPr>
          <w:p w14:paraId="2DB7A90F" w14:textId="0E3DD992" w:rsidR="002C7E63" w:rsidRDefault="00C1160F" w:rsidP="00C1160F">
            <w:pPr>
              <w:pStyle w:val="ListParagraph"/>
              <w:numPr>
                <w:ilvl w:val="0"/>
                <w:numId w:val="2"/>
              </w:numPr>
            </w:pPr>
            <w:r w:rsidRPr="00C1160F">
              <w:t xml:space="preserve">How to execute periodic review – existing quality systems that can be used as opposed to re-inventing the wheel </w:t>
            </w:r>
            <w:r>
              <w:t>and to avoid the error of simply</w:t>
            </w:r>
            <w:r w:rsidRPr="00C1160F">
              <w:t xml:space="preserve"> re-</w:t>
            </w:r>
            <w:r>
              <w:t>executing</w:t>
            </w:r>
            <w:r w:rsidRPr="00C1160F">
              <w:t xml:space="preserve"> the risk assessment</w:t>
            </w:r>
            <w:r w:rsidR="002C7E63">
              <w:t xml:space="preserve"> </w:t>
            </w:r>
          </w:p>
          <w:p w14:paraId="42602E00" w14:textId="479802FE" w:rsidR="00C1160F" w:rsidRDefault="002C7E63" w:rsidP="00C1160F">
            <w:pPr>
              <w:pStyle w:val="ListParagraph"/>
              <w:numPr>
                <w:ilvl w:val="0"/>
                <w:numId w:val="2"/>
              </w:numPr>
            </w:pPr>
            <w:r>
              <w:t>Understanding the benefits of an effective periodic review (continuous improvement)</w:t>
            </w:r>
          </w:p>
          <w:p w14:paraId="4AA46C72" w14:textId="77777777" w:rsidR="00C1160F" w:rsidRDefault="00C1160F" w:rsidP="00C1160F">
            <w:pPr>
              <w:pStyle w:val="ListParagraph"/>
              <w:numPr>
                <w:ilvl w:val="0"/>
                <w:numId w:val="2"/>
              </w:numPr>
            </w:pPr>
            <w:r>
              <w:t>How to effectively make risk assessments living documents (periodic and event driven risk reviews)</w:t>
            </w:r>
          </w:p>
          <w:p w14:paraId="7F747B1E" w14:textId="2EB5B7EA" w:rsidR="00833C75" w:rsidRDefault="00833C75" w:rsidP="00C1160F">
            <w:pPr>
              <w:pStyle w:val="ListParagraph"/>
              <w:numPr>
                <w:ilvl w:val="0"/>
                <w:numId w:val="2"/>
              </w:numPr>
            </w:pPr>
            <w:r>
              <w:t xml:space="preserve">Tools to remove subjectivity during risk assessments e.g., private voting systems such as </w:t>
            </w:r>
            <w:r w:rsidRPr="00833C75">
              <w:t>Spiro to gather silent feedback</w:t>
            </w:r>
          </w:p>
          <w:p w14:paraId="2B890389" w14:textId="36B9F7BA" w:rsidR="00833C75" w:rsidRDefault="00833C75" w:rsidP="00833C75">
            <w:pPr>
              <w:pStyle w:val="ListParagraph"/>
              <w:numPr>
                <w:ilvl w:val="0"/>
                <w:numId w:val="2"/>
              </w:numPr>
            </w:pPr>
            <w:r>
              <w:t xml:space="preserve">Risk register – How to make this more effective and impactful. </w:t>
            </w:r>
          </w:p>
          <w:p w14:paraId="6502BF63" w14:textId="74BD9758" w:rsidR="00833C75" w:rsidRDefault="00833C75" w:rsidP="00833C75">
            <w:pPr>
              <w:pStyle w:val="ListParagraph"/>
              <w:numPr>
                <w:ilvl w:val="0"/>
                <w:numId w:val="2"/>
              </w:numPr>
            </w:pPr>
            <w:r w:rsidRPr="00161DC4">
              <w:t>Bigger team</w:t>
            </w:r>
            <w:r w:rsidR="00541188">
              <w:t xml:space="preserve">s </w:t>
            </w:r>
            <w:r w:rsidRPr="00161DC4">
              <w:t>(ensuring the right people)</w:t>
            </w:r>
          </w:p>
          <w:p w14:paraId="35751401" w14:textId="77777777" w:rsidR="00833C75" w:rsidRDefault="00833C75" w:rsidP="00833C75">
            <w:pPr>
              <w:pStyle w:val="ListParagraph"/>
              <w:numPr>
                <w:ilvl w:val="0"/>
                <w:numId w:val="2"/>
              </w:numPr>
            </w:pPr>
            <w:r>
              <w:t>“Knowledge management is key”</w:t>
            </w:r>
          </w:p>
          <w:p w14:paraId="678D3870" w14:textId="77777777" w:rsidR="00833C75" w:rsidRDefault="00833C75" w:rsidP="00833C75">
            <w:pPr>
              <w:pStyle w:val="ListParagraph"/>
              <w:numPr>
                <w:ilvl w:val="0"/>
                <w:numId w:val="2"/>
              </w:numPr>
            </w:pPr>
            <w:r>
              <w:t xml:space="preserve">Widen </w:t>
            </w:r>
            <w:proofErr w:type="gramStart"/>
            <w:r>
              <w:t>SMEs;</w:t>
            </w:r>
            <w:proofErr w:type="gramEnd"/>
            <w:r>
              <w:t xml:space="preserve"> reflection on the type of SME and level of formality</w:t>
            </w:r>
          </w:p>
          <w:p w14:paraId="29D9B7FA" w14:textId="613FE21F" w:rsidR="00833C75" w:rsidRPr="00C1160F" w:rsidRDefault="00833C75" w:rsidP="00541188">
            <w:pPr>
              <w:pStyle w:val="ListParagraph"/>
              <w:numPr>
                <w:ilvl w:val="0"/>
                <w:numId w:val="2"/>
              </w:numPr>
            </w:pPr>
            <w:r>
              <w:lastRenderedPageBreak/>
              <w:t>Application of AI &amp; ML – will introduce uncertainty (per Val presentation) – need to help people with the right mindsets to navigate this</w:t>
            </w:r>
          </w:p>
        </w:tc>
      </w:tr>
    </w:tbl>
    <w:p w14:paraId="0D187840" w14:textId="7EC9D8C2" w:rsidR="00495753" w:rsidRDefault="00495753" w:rsidP="003C5F1C">
      <w:pPr>
        <w:spacing w:after="0"/>
      </w:pPr>
    </w:p>
    <w:p w14:paraId="208D7C72" w14:textId="77777777" w:rsidR="00495753" w:rsidRDefault="00495753" w:rsidP="003C5F1C">
      <w:pPr>
        <w:spacing w:after="0"/>
      </w:pPr>
    </w:p>
    <w:sectPr w:rsidR="00495753" w:rsidSect="00833C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3504" w14:textId="77777777" w:rsidR="00DE009D" w:rsidRDefault="00DE009D" w:rsidP="00C40B29">
      <w:pPr>
        <w:spacing w:after="0" w:line="240" w:lineRule="auto"/>
      </w:pPr>
      <w:r>
        <w:separator/>
      </w:r>
    </w:p>
  </w:endnote>
  <w:endnote w:type="continuationSeparator" w:id="0">
    <w:p w14:paraId="73959941" w14:textId="77777777" w:rsidR="00DE009D" w:rsidRDefault="00DE009D" w:rsidP="00C4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993E" w14:textId="77777777" w:rsidR="00DE009D" w:rsidRDefault="00DE009D" w:rsidP="00C40B29">
      <w:pPr>
        <w:spacing w:after="0" w:line="240" w:lineRule="auto"/>
      </w:pPr>
      <w:r>
        <w:separator/>
      </w:r>
    </w:p>
  </w:footnote>
  <w:footnote w:type="continuationSeparator" w:id="0">
    <w:p w14:paraId="1B5F3BF9" w14:textId="77777777" w:rsidR="00DE009D" w:rsidRDefault="00DE009D" w:rsidP="00C40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4BE5"/>
    <w:multiLevelType w:val="hybridMultilevel"/>
    <w:tmpl w:val="9D321D76"/>
    <w:lvl w:ilvl="0" w:tplc="C19ACADC">
      <w:start w:val="1"/>
      <w:numFmt w:val="bullet"/>
      <w:lvlText w:val="•"/>
      <w:lvlJc w:val="left"/>
      <w:pPr>
        <w:tabs>
          <w:tab w:val="num" w:pos="720"/>
        </w:tabs>
        <w:ind w:left="720" w:hanging="360"/>
      </w:pPr>
      <w:rPr>
        <w:rFonts w:ascii="Times New Roman" w:hAnsi="Times New Roman" w:hint="default"/>
      </w:rPr>
    </w:lvl>
    <w:lvl w:ilvl="1" w:tplc="D9DEA6DC" w:tentative="1">
      <w:start w:val="1"/>
      <w:numFmt w:val="bullet"/>
      <w:lvlText w:val="•"/>
      <w:lvlJc w:val="left"/>
      <w:pPr>
        <w:tabs>
          <w:tab w:val="num" w:pos="1440"/>
        </w:tabs>
        <w:ind w:left="1440" w:hanging="360"/>
      </w:pPr>
      <w:rPr>
        <w:rFonts w:ascii="Times New Roman" w:hAnsi="Times New Roman" w:hint="default"/>
      </w:rPr>
    </w:lvl>
    <w:lvl w:ilvl="2" w:tplc="AF76B9CE" w:tentative="1">
      <w:start w:val="1"/>
      <w:numFmt w:val="bullet"/>
      <w:lvlText w:val="•"/>
      <w:lvlJc w:val="left"/>
      <w:pPr>
        <w:tabs>
          <w:tab w:val="num" w:pos="2160"/>
        </w:tabs>
        <w:ind w:left="2160" w:hanging="360"/>
      </w:pPr>
      <w:rPr>
        <w:rFonts w:ascii="Times New Roman" w:hAnsi="Times New Roman" w:hint="default"/>
      </w:rPr>
    </w:lvl>
    <w:lvl w:ilvl="3" w:tplc="912CE83C" w:tentative="1">
      <w:start w:val="1"/>
      <w:numFmt w:val="bullet"/>
      <w:lvlText w:val="•"/>
      <w:lvlJc w:val="left"/>
      <w:pPr>
        <w:tabs>
          <w:tab w:val="num" w:pos="2880"/>
        </w:tabs>
        <w:ind w:left="2880" w:hanging="360"/>
      </w:pPr>
      <w:rPr>
        <w:rFonts w:ascii="Times New Roman" w:hAnsi="Times New Roman" w:hint="default"/>
      </w:rPr>
    </w:lvl>
    <w:lvl w:ilvl="4" w:tplc="CB1446EA" w:tentative="1">
      <w:start w:val="1"/>
      <w:numFmt w:val="bullet"/>
      <w:lvlText w:val="•"/>
      <w:lvlJc w:val="left"/>
      <w:pPr>
        <w:tabs>
          <w:tab w:val="num" w:pos="3600"/>
        </w:tabs>
        <w:ind w:left="3600" w:hanging="360"/>
      </w:pPr>
      <w:rPr>
        <w:rFonts w:ascii="Times New Roman" w:hAnsi="Times New Roman" w:hint="default"/>
      </w:rPr>
    </w:lvl>
    <w:lvl w:ilvl="5" w:tplc="052CD46A" w:tentative="1">
      <w:start w:val="1"/>
      <w:numFmt w:val="bullet"/>
      <w:lvlText w:val="•"/>
      <w:lvlJc w:val="left"/>
      <w:pPr>
        <w:tabs>
          <w:tab w:val="num" w:pos="4320"/>
        </w:tabs>
        <w:ind w:left="4320" w:hanging="360"/>
      </w:pPr>
      <w:rPr>
        <w:rFonts w:ascii="Times New Roman" w:hAnsi="Times New Roman" w:hint="default"/>
      </w:rPr>
    </w:lvl>
    <w:lvl w:ilvl="6" w:tplc="A5C889DA" w:tentative="1">
      <w:start w:val="1"/>
      <w:numFmt w:val="bullet"/>
      <w:lvlText w:val="•"/>
      <w:lvlJc w:val="left"/>
      <w:pPr>
        <w:tabs>
          <w:tab w:val="num" w:pos="5040"/>
        </w:tabs>
        <w:ind w:left="5040" w:hanging="360"/>
      </w:pPr>
      <w:rPr>
        <w:rFonts w:ascii="Times New Roman" w:hAnsi="Times New Roman" w:hint="default"/>
      </w:rPr>
    </w:lvl>
    <w:lvl w:ilvl="7" w:tplc="12DE53B2" w:tentative="1">
      <w:start w:val="1"/>
      <w:numFmt w:val="bullet"/>
      <w:lvlText w:val="•"/>
      <w:lvlJc w:val="left"/>
      <w:pPr>
        <w:tabs>
          <w:tab w:val="num" w:pos="5760"/>
        </w:tabs>
        <w:ind w:left="5760" w:hanging="360"/>
      </w:pPr>
      <w:rPr>
        <w:rFonts w:ascii="Times New Roman" w:hAnsi="Times New Roman" w:hint="default"/>
      </w:rPr>
    </w:lvl>
    <w:lvl w:ilvl="8" w:tplc="3DEE4D3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2875EC5"/>
    <w:multiLevelType w:val="hybridMultilevel"/>
    <w:tmpl w:val="F46A4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17E9D"/>
    <w:multiLevelType w:val="hybridMultilevel"/>
    <w:tmpl w:val="29EC8ABA"/>
    <w:lvl w:ilvl="0" w:tplc="65D622A8">
      <w:start w:val="1"/>
      <w:numFmt w:val="bullet"/>
      <w:lvlText w:val=""/>
      <w:lvlJc w:val="left"/>
      <w:pPr>
        <w:tabs>
          <w:tab w:val="num" w:pos="720"/>
        </w:tabs>
        <w:ind w:left="720" w:hanging="360"/>
      </w:pPr>
      <w:rPr>
        <w:rFonts w:ascii="Wingdings" w:hAnsi="Wingdings" w:hint="default"/>
      </w:rPr>
    </w:lvl>
    <w:lvl w:ilvl="1" w:tplc="017A18AE" w:tentative="1">
      <w:start w:val="1"/>
      <w:numFmt w:val="bullet"/>
      <w:lvlText w:val=""/>
      <w:lvlJc w:val="left"/>
      <w:pPr>
        <w:tabs>
          <w:tab w:val="num" w:pos="1440"/>
        </w:tabs>
        <w:ind w:left="1440" w:hanging="360"/>
      </w:pPr>
      <w:rPr>
        <w:rFonts w:ascii="Wingdings" w:hAnsi="Wingdings" w:hint="default"/>
      </w:rPr>
    </w:lvl>
    <w:lvl w:ilvl="2" w:tplc="09323EC8" w:tentative="1">
      <w:start w:val="1"/>
      <w:numFmt w:val="bullet"/>
      <w:lvlText w:val=""/>
      <w:lvlJc w:val="left"/>
      <w:pPr>
        <w:tabs>
          <w:tab w:val="num" w:pos="2160"/>
        </w:tabs>
        <w:ind w:left="2160" w:hanging="360"/>
      </w:pPr>
      <w:rPr>
        <w:rFonts w:ascii="Wingdings" w:hAnsi="Wingdings" w:hint="default"/>
      </w:rPr>
    </w:lvl>
    <w:lvl w:ilvl="3" w:tplc="10062334" w:tentative="1">
      <w:start w:val="1"/>
      <w:numFmt w:val="bullet"/>
      <w:lvlText w:val=""/>
      <w:lvlJc w:val="left"/>
      <w:pPr>
        <w:tabs>
          <w:tab w:val="num" w:pos="2880"/>
        </w:tabs>
        <w:ind w:left="2880" w:hanging="360"/>
      </w:pPr>
      <w:rPr>
        <w:rFonts w:ascii="Wingdings" w:hAnsi="Wingdings" w:hint="default"/>
      </w:rPr>
    </w:lvl>
    <w:lvl w:ilvl="4" w:tplc="F0908C9A" w:tentative="1">
      <w:start w:val="1"/>
      <w:numFmt w:val="bullet"/>
      <w:lvlText w:val=""/>
      <w:lvlJc w:val="left"/>
      <w:pPr>
        <w:tabs>
          <w:tab w:val="num" w:pos="3600"/>
        </w:tabs>
        <w:ind w:left="3600" w:hanging="360"/>
      </w:pPr>
      <w:rPr>
        <w:rFonts w:ascii="Wingdings" w:hAnsi="Wingdings" w:hint="default"/>
      </w:rPr>
    </w:lvl>
    <w:lvl w:ilvl="5" w:tplc="78E084EC" w:tentative="1">
      <w:start w:val="1"/>
      <w:numFmt w:val="bullet"/>
      <w:lvlText w:val=""/>
      <w:lvlJc w:val="left"/>
      <w:pPr>
        <w:tabs>
          <w:tab w:val="num" w:pos="4320"/>
        </w:tabs>
        <w:ind w:left="4320" w:hanging="360"/>
      </w:pPr>
      <w:rPr>
        <w:rFonts w:ascii="Wingdings" w:hAnsi="Wingdings" w:hint="default"/>
      </w:rPr>
    </w:lvl>
    <w:lvl w:ilvl="6" w:tplc="D5F0DDB6" w:tentative="1">
      <w:start w:val="1"/>
      <w:numFmt w:val="bullet"/>
      <w:lvlText w:val=""/>
      <w:lvlJc w:val="left"/>
      <w:pPr>
        <w:tabs>
          <w:tab w:val="num" w:pos="5040"/>
        </w:tabs>
        <w:ind w:left="5040" w:hanging="360"/>
      </w:pPr>
      <w:rPr>
        <w:rFonts w:ascii="Wingdings" w:hAnsi="Wingdings" w:hint="default"/>
      </w:rPr>
    </w:lvl>
    <w:lvl w:ilvl="7" w:tplc="15D87EEE" w:tentative="1">
      <w:start w:val="1"/>
      <w:numFmt w:val="bullet"/>
      <w:lvlText w:val=""/>
      <w:lvlJc w:val="left"/>
      <w:pPr>
        <w:tabs>
          <w:tab w:val="num" w:pos="5760"/>
        </w:tabs>
        <w:ind w:left="5760" w:hanging="360"/>
      </w:pPr>
      <w:rPr>
        <w:rFonts w:ascii="Wingdings" w:hAnsi="Wingdings" w:hint="default"/>
      </w:rPr>
    </w:lvl>
    <w:lvl w:ilvl="8" w:tplc="01F2FA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1959BE"/>
    <w:multiLevelType w:val="hybridMultilevel"/>
    <w:tmpl w:val="526C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53A09"/>
    <w:multiLevelType w:val="hybridMultilevel"/>
    <w:tmpl w:val="0724540A"/>
    <w:lvl w:ilvl="0" w:tplc="18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50B2127"/>
    <w:multiLevelType w:val="hybridMultilevel"/>
    <w:tmpl w:val="EA1263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FB24AB"/>
    <w:multiLevelType w:val="hybridMultilevel"/>
    <w:tmpl w:val="EA12634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53"/>
    <w:rsid w:val="0007457F"/>
    <w:rsid w:val="00161DC4"/>
    <w:rsid w:val="00196D2E"/>
    <w:rsid w:val="001C2130"/>
    <w:rsid w:val="002C7E63"/>
    <w:rsid w:val="003C5F1C"/>
    <w:rsid w:val="00495753"/>
    <w:rsid w:val="00541188"/>
    <w:rsid w:val="00833C75"/>
    <w:rsid w:val="00AB29AC"/>
    <w:rsid w:val="00C1160F"/>
    <w:rsid w:val="00C40B29"/>
    <w:rsid w:val="00CB14ED"/>
    <w:rsid w:val="00D27DFC"/>
    <w:rsid w:val="00D75D14"/>
    <w:rsid w:val="00DE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E663F"/>
  <w15:chartTrackingRefBased/>
  <w15:docId w15:val="{68C1C0FC-9004-4713-892B-1D4040FF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753"/>
    <w:pPr>
      <w:ind w:left="720"/>
      <w:contextualSpacing/>
    </w:pPr>
  </w:style>
  <w:style w:type="table" w:styleId="TableGrid">
    <w:name w:val="Table Grid"/>
    <w:basedOn w:val="TableNormal"/>
    <w:uiPriority w:val="39"/>
    <w:rsid w:val="00C1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130633">
      <w:bodyDiv w:val="1"/>
      <w:marLeft w:val="0"/>
      <w:marRight w:val="0"/>
      <w:marTop w:val="0"/>
      <w:marBottom w:val="0"/>
      <w:divBdr>
        <w:top w:val="none" w:sz="0" w:space="0" w:color="auto"/>
        <w:left w:val="none" w:sz="0" w:space="0" w:color="auto"/>
        <w:bottom w:val="none" w:sz="0" w:space="0" w:color="auto"/>
        <w:right w:val="none" w:sz="0" w:space="0" w:color="auto"/>
      </w:divBdr>
      <w:divsChild>
        <w:div w:id="986087182">
          <w:marLeft w:val="547"/>
          <w:marRight w:val="0"/>
          <w:marTop w:val="0"/>
          <w:marBottom w:val="0"/>
          <w:divBdr>
            <w:top w:val="none" w:sz="0" w:space="0" w:color="auto"/>
            <w:left w:val="none" w:sz="0" w:space="0" w:color="auto"/>
            <w:bottom w:val="none" w:sz="0" w:space="0" w:color="auto"/>
            <w:right w:val="none" w:sz="0" w:space="0" w:color="auto"/>
          </w:divBdr>
        </w:div>
        <w:div w:id="797145113">
          <w:marLeft w:val="547"/>
          <w:marRight w:val="0"/>
          <w:marTop w:val="0"/>
          <w:marBottom w:val="0"/>
          <w:divBdr>
            <w:top w:val="none" w:sz="0" w:space="0" w:color="auto"/>
            <w:left w:val="none" w:sz="0" w:space="0" w:color="auto"/>
            <w:bottom w:val="none" w:sz="0" w:space="0" w:color="auto"/>
            <w:right w:val="none" w:sz="0" w:space="0" w:color="auto"/>
          </w:divBdr>
        </w:div>
        <w:div w:id="19021333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Lipa, Marty</dc:creator>
  <cp:keywords/>
  <dc:description/>
  <cp:lastModifiedBy>Donna Leamy</cp:lastModifiedBy>
  <cp:revision>3</cp:revision>
  <dcterms:created xsi:type="dcterms:W3CDTF">2022-09-21T09:24:00Z</dcterms:created>
  <dcterms:modified xsi:type="dcterms:W3CDTF">2022-09-21T09:24:00Z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2022-09-13T01:57:14Z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b9f0eceb-e188-4f45-bfcc-7c48cf0f759e</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ies>
</file>